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C2D12" w14:textId="77777777" w:rsidR="00563817" w:rsidRPr="00563817" w:rsidRDefault="00563817" w:rsidP="00563817">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0DD9D978" w14:textId="77777777" w:rsidR="00563817" w:rsidRPr="00563817" w:rsidRDefault="00563817" w:rsidP="005638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79788078" w14:textId="0A4C70A2" w:rsidR="00563817" w:rsidRPr="00563817" w:rsidRDefault="00563817" w:rsidP="005638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0026308F" w:rsidRPr="0026308F">
        <w:rPr>
          <w:rFonts w:ascii="Times New Roman" w:eastAsia="Times New Roman" w:hAnsi="Times New Roman" w:cs="Times New Roman"/>
          <w:kern w:val="0"/>
          <w:sz w:val="24"/>
          <w:szCs w:val="24"/>
          <w:lang w:eastAsia="ar-SA"/>
          <w14:ligatures w14:val="none"/>
        </w:rPr>
        <w:t>1-47.3385</w:t>
      </w:r>
      <w:r w:rsidRPr="00563817">
        <w:rPr>
          <w:rFonts w:ascii="Times New Roman" w:eastAsia="Times New Roman" w:hAnsi="Times New Roman" w:cs="Times New Roman"/>
          <w:kern w:val="0"/>
          <w:sz w:val="24"/>
          <w:szCs w:val="24"/>
          <w:lang w:eastAsia="ar-SA"/>
          <w14:ligatures w14:val="none"/>
        </w:rPr>
        <w:t>/1</w:t>
      </w:r>
    </w:p>
    <w:p w14:paraId="1EE57E6C" w14:textId="77777777" w:rsidR="00563817" w:rsidRPr="00563817" w:rsidRDefault="00563817" w:rsidP="00563817">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52FAE67" w14:textId="77777777" w:rsidR="00563817" w:rsidRPr="00563817" w:rsidRDefault="00563817" w:rsidP="002348C6">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227FD177" w14:textId="25F9AD6A" w:rsidR="00563817" w:rsidRPr="00563817" w:rsidRDefault="00563817" w:rsidP="00D13AE0">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r w:rsidR="00D13AE0" w:rsidRPr="00D13AE0">
        <w:rPr>
          <w:rFonts w:ascii="Times New Roman" w:hAnsi="Times New Roman" w:cs="Times New Roman"/>
          <w:iCs/>
          <w:sz w:val="24"/>
          <w:szCs w:val="24"/>
        </w:rPr>
        <w:t>Sutlepa mere kalade rändeteede avamise eeluuringud</w:t>
      </w:r>
      <w:r w:rsidR="00D13AE0">
        <w:rPr>
          <w:rFonts w:ascii="Times New Roman" w:hAnsi="Times New Roman" w:cs="Times New Roman"/>
          <w:iCs/>
          <w:sz w:val="24"/>
          <w:szCs w:val="24"/>
        </w:rPr>
        <w:t xml:space="preserve">. </w:t>
      </w:r>
      <w:r w:rsidR="00D13AE0" w:rsidRPr="00D13AE0">
        <w:rPr>
          <w:rFonts w:ascii="Times New Roman" w:hAnsi="Times New Roman" w:cs="Times New Roman"/>
          <w:iCs/>
          <w:sz w:val="24"/>
          <w:szCs w:val="24"/>
        </w:rPr>
        <w:t>Viitenumber: 290737</w:t>
      </w:r>
      <w:r w:rsidR="00D13AE0">
        <w:rPr>
          <w:rFonts w:ascii="Times New Roman" w:hAnsi="Times New Roman" w:cs="Times New Roman"/>
          <w:iCs/>
          <w:sz w:val="24"/>
          <w:szCs w:val="24"/>
        </w:rPr>
        <w:t xml:space="preserve">“ </w:t>
      </w: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1C9386A4" w14:textId="77777777" w:rsidR="00563817" w:rsidRPr="00563817" w:rsidRDefault="00563817" w:rsidP="002348C6">
      <w:pPr>
        <w:spacing w:after="0" w:line="276" w:lineRule="auto"/>
        <w:jc w:val="both"/>
        <w:outlineLvl w:val="1"/>
        <w:rPr>
          <w:rFonts w:ascii="Times New Roman" w:hAnsi="Times New Roman" w:cs="Times New Roman"/>
          <w:iCs/>
          <w:sz w:val="24"/>
          <w:szCs w:val="24"/>
        </w:rPr>
      </w:pPr>
    </w:p>
    <w:p w14:paraId="62A11532" w14:textId="77777777" w:rsidR="00563817" w:rsidRPr="00563817" w:rsidRDefault="00563817" w:rsidP="002348C6">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58B71447" w14:textId="7FB40149"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nimi ja andmed: Riigimetsa Majandamise Keskus, Mõisa/3, Sagadi küla, Haljala vald,</w:t>
      </w:r>
      <w:r w:rsidR="004C7585" w:rsidRPr="002348C6">
        <w:rPr>
          <w:rFonts w:ascii="Times New Roman" w:hAnsi="Times New Roman" w:cs="Times New Roman"/>
          <w:sz w:val="24"/>
          <w:szCs w:val="24"/>
        </w:rPr>
        <w:t xml:space="preserve"> </w:t>
      </w:r>
      <w:r w:rsidRPr="002348C6">
        <w:rPr>
          <w:rFonts w:ascii="Times New Roman" w:hAnsi="Times New Roman" w:cs="Times New Roman"/>
          <w:sz w:val="24"/>
          <w:szCs w:val="24"/>
        </w:rPr>
        <w:t>Lääne-Viru maakond 45403, registrikood 70004459.</w:t>
      </w:r>
    </w:p>
    <w:p w14:paraId="2153ACEE" w14:textId="437AFE13" w:rsidR="00C1155A" w:rsidRPr="002348C6" w:rsidRDefault="00563817" w:rsidP="002348C6">
      <w:pPr>
        <w:numPr>
          <w:ilvl w:val="1"/>
          <w:numId w:val="0"/>
        </w:numPr>
        <w:spacing w:after="0" w:line="276" w:lineRule="auto"/>
        <w:jc w:val="both"/>
        <w:rPr>
          <w:rFonts w:ascii="Times New Roman" w:hAnsi="Times New Roman" w:cs="Times New Roman"/>
          <w:sz w:val="24"/>
          <w:szCs w:val="24"/>
        </w:rPr>
      </w:pPr>
      <w:r w:rsidRPr="00563817">
        <w:rPr>
          <w:rFonts w:ascii="Times New Roman" w:hAnsi="Times New Roman" w:cs="Times New Roman"/>
          <w:sz w:val="24"/>
          <w:szCs w:val="24"/>
        </w:rPr>
        <w:t>Hankemenetluse nimetus „</w:t>
      </w:r>
      <w:r w:rsidR="004C7585" w:rsidRPr="002348C6">
        <w:rPr>
          <w:rFonts w:ascii="Times New Roman" w:hAnsi="Times New Roman" w:cs="Times New Roman"/>
          <w:sz w:val="24"/>
          <w:szCs w:val="24"/>
        </w:rPr>
        <w:t>Sutlepa mere kalade rändeteede avamise eeluuringud</w:t>
      </w:r>
      <w:r w:rsidRPr="00563817">
        <w:rPr>
          <w:rFonts w:ascii="Times New Roman" w:hAnsi="Times New Roman" w:cs="Times New Roman"/>
          <w:sz w:val="24"/>
          <w:szCs w:val="24"/>
        </w:rPr>
        <w:t>. Viitenumber:</w:t>
      </w:r>
      <w:r w:rsidR="004C7585" w:rsidRPr="002348C6">
        <w:rPr>
          <w:rFonts w:ascii="Times New Roman" w:hAnsi="Times New Roman" w:cs="Times New Roman"/>
          <w:sz w:val="24"/>
          <w:szCs w:val="24"/>
        </w:rPr>
        <w:t xml:space="preserve"> </w:t>
      </w:r>
      <w:r w:rsidR="00AF6D6A" w:rsidRPr="00AF6D6A">
        <w:rPr>
          <w:rFonts w:ascii="Times New Roman" w:hAnsi="Times New Roman" w:cs="Times New Roman"/>
          <w:sz w:val="24"/>
          <w:szCs w:val="24"/>
        </w:rPr>
        <w:t>290737</w:t>
      </w:r>
      <w:r w:rsidR="00AF6D6A">
        <w:rPr>
          <w:rFonts w:ascii="Times New Roman" w:hAnsi="Times New Roman" w:cs="Times New Roman"/>
          <w:sz w:val="24"/>
          <w:szCs w:val="24"/>
        </w:rPr>
        <w:t xml:space="preserve"> </w:t>
      </w:r>
      <w:r w:rsidRPr="00563817">
        <w:rPr>
          <w:rFonts w:ascii="Times New Roman" w:hAnsi="Times New Roman" w:cs="Times New Roman"/>
          <w:sz w:val="24"/>
          <w:szCs w:val="24"/>
        </w:rPr>
        <w:t xml:space="preserve">(edaspidi hankemenetlus). </w:t>
      </w:r>
    </w:p>
    <w:p w14:paraId="338E8EF7" w14:textId="3EA8F560"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Projekti rahastatakse:</w:t>
      </w:r>
      <w:r w:rsidR="00F124AD">
        <w:rPr>
          <w:rFonts w:ascii="Times New Roman" w:hAnsi="Times New Roman" w:cs="Times New Roman"/>
          <w:sz w:val="24"/>
          <w:szCs w:val="24"/>
        </w:rPr>
        <w:t xml:space="preserve"> </w:t>
      </w:r>
      <w:r w:rsidR="002211E7" w:rsidRPr="002211E7">
        <w:rPr>
          <w:rFonts w:ascii="Times New Roman" w:hAnsi="Times New Roman" w:cs="Times New Roman"/>
          <w:sz w:val="24"/>
          <w:szCs w:val="24"/>
        </w:rPr>
        <w:t>Euroopa Merendus-, Kalandus- ja Vesiviljelusfond, rakenduskava 2021-2027, meede F1.6.1: Kalade kudemistingimuste parendamise toetus</w:t>
      </w:r>
      <w:r w:rsidRPr="002348C6">
        <w:rPr>
          <w:rFonts w:ascii="Times New Roman" w:hAnsi="Times New Roman" w:cs="Times New Roman"/>
          <w:sz w:val="24"/>
          <w:szCs w:val="24"/>
        </w:rPr>
        <w:t>.</w:t>
      </w:r>
    </w:p>
    <w:p w14:paraId="3A7E421E" w14:textId="18BB3C30" w:rsidR="000D1473" w:rsidRDefault="00563817" w:rsidP="002348C6">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CPV Klassifikatsioon: </w:t>
      </w:r>
      <w:r w:rsidR="00FD4CDA" w:rsidRPr="00FD4CDA">
        <w:rPr>
          <w:rFonts w:ascii="Times New Roman" w:hAnsi="Times New Roman" w:cs="Times New Roman"/>
          <w:sz w:val="24"/>
          <w:szCs w:val="24"/>
        </w:rPr>
        <w:t>71336000-2 Insenertehnilised tugiteenused</w:t>
      </w:r>
      <w:r w:rsidR="000D1473">
        <w:rPr>
          <w:rFonts w:ascii="Times New Roman" w:hAnsi="Times New Roman" w:cs="Times New Roman"/>
          <w:sz w:val="24"/>
          <w:szCs w:val="24"/>
        </w:rPr>
        <w:t xml:space="preserve">, </w:t>
      </w:r>
      <w:r w:rsidR="000D1473" w:rsidRPr="000D1473">
        <w:rPr>
          <w:rFonts w:ascii="Times New Roman" w:hAnsi="Times New Roman" w:cs="Times New Roman"/>
          <w:sz w:val="24"/>
          <w:szCs w:val="24"/>
        </w:rPr>
        <w:t>73200000-4 Uurimis- ja arendustöö nõustamisteenused</w:t>
      </w:r>
      <w:r w:rsidR="000D1473">
        <w:rPr>
          <w:rFonts w:ascii="Times New Roman" w:hAnsi="Times New Roman" w:cs="Times New Roman"/>
          <w:sz w:val="24"/>
          <w:szCs w:val="24"/>
        </w:rPr>
        <w:t>.</w:t>
      </w:r>
    </w:p>
    <w:p w14:paraId="6DD37633" w14:textId="4065AD26" w:rsidR="00CA6514" w:rsidRPr="00A7122F" w:rsidRDefault="00A7122F" w:rsidP="00A7122F">
      <w:pPr>
        <w:pStyle w:val="11"/>
        <w:spacing w:line="276" w:lineRule="auto"/>
        <w:rPr>
          <w:rFonts w:ascii="Times New Roman" w:hAnsi="Times New Roman" w:cs="Times New Roman"/>
          <w:b/>
          <w:bCs/>
          <w:sz w:val="24"/>
          <w:szCs w:val="24"/>
        </w:rPr>
      </w:pPr>
      <w:r w:rsidRPr="00A7122F">
        <w:rPr>
          <w:rFonts w:ascii="Times New Roman" w:hAnsi="Times New Roman" w:cs="Times New Roman"/>
          <w:b/>
          <w:bCs/>
          <w:sz w:val="24"/>
          <w:szCs w:val="24"/>
        </w:rPr>
        <w:t>Pakkuja  peab olema  evalveeritud teadus- ja arendusasutus teadus- ja arendustegevuse korralduse seaduse tähenduses.</w:t>
      </w:r>
    </w:p>
    <w:p w14:paraId="713BC818" w14:textId="4A8063B7" w:rsidR="00C1155A" w:rsidRPr="00FD4CDA" w:rsidRDefault="00FD4CDA" w:rsidP="002348C6">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 </w:t>
      </w:r>
      <w:r w:rsidR="00563817" w:rsidRPr="00FD4CDA">
        <w:rPr>
          <w:rFonts w:ascii="Times New Roman" w:hAnsi="Times New Roman" w:cs="Times New Roman"/>
          <w:sz w:val="24"/>
          <w:szCs w:val="24"/>
        </w:rPr>
        <w:t>Riigihanke alusdokumendid (edaspidi RHAD) on kõik asjakohased RHS § 4 punktis 17 viidatud dokumendid, sh</w:t>
      </w:r>
      <w:r w:rsidR="00C1155A" w:rsidRPr="00FD4CDA">
        <w:rPr>
          <w:rFonts w:ascii="Times New Roman" w:hAnsi="Times New Roman" w:cs="Times New Roman"/>
          <w:sz w:val="24"/>
          <w:szCs w:val="24"/>
        </w:rPr>
        <w:t xml:space="preserve"> k</w:t>
      </w:r>
      <w:r w:rsidR="00563817" w:rsidRPr="00FD4CDA">
        <w:rPr>
          <w:rFonts w:ascii="Times New Roman" w:hAnsi="Times New Roman" w:cs="Times New Roman"/>
          <w:sz w:val="24"/>
          <w:szCs w:val="24"/>
        </w:rPr>
        <w:t>äesolev hankedokument koos kõikide lisadega;</w:t>
      </w:r>
    </w:p>
    <w:p w14:paraId="66356086"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Hankemenetluses riigihangete registris (edaspidi RHR) avaldatud teave, sh hanketeade (edaspidi HT),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C633ACE"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961CDD0"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2C842A3B" w14:textId="684CE7B4"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w:t>
      </w:r>
      <w:r w:rsidRPr="002348C6">
        <w:rPr>
          <w:rFonts w:ascii="Times New Roman" w:hAnsi="Times New Roman" w:cs="Times New Roman"/>
          <w:sz w:val="24"/>
          <w:szCs w:val="24"/>
        </w:rPr>
        <w:lastRenderedPageBreak/>
        <w:t>pakkumuses vabas vormis ära. Samaväärsuse kontrollimiseks esitab pakkuja vabas vormis selgitused ja tõendid.</w:t>
      </w:r>
    </w:p>
    <w:bookmarkEnd w:id="1"/>
    <w:p w14:paraId="6554E2B6" w14:textId="77777777" w:rsidR="00563817" w:rsidRPr="00563817" w:rsidRDefault="00563817" w:rsidP="002348C6">
      <w:pPr>
        <w:spacing w:after="0" w:line="276" w:lineRule="auto"/>
        <w:jc w:val="both"/>
        <w:rPr>
          <w:rFonts w:ascii="Times New Roman" w:hAnsi="Times New Roman" w:cs="Times New Roman"/>
          <w:sz w:val="24"/>
          <w:szCs w:val="24"/>
        </w:rPr>
      </w:pPr>
    </w:p>
    <w:p w14:paraId="048A52B0" w14:textId="77777777" w:rsidR="00563817" w:rsidRPr="00563817" w:rsidRDefault="00563817" w:rsidP="002348C6">
      <w:pPr>
        <w:spacing w:after="0" w:line="276" w:lineRule="auto"/>
        <w:jc w:val="both"/>
        <w:rPr>
          <w:rFonts w:ascii="Times New Roman" w:hAnsi="Times New Roman" w:cs="Times New Roman"/>
          <w:sz w:val="24"/>
          <w:szCs w:val="24"/>
        </w:rPr>
      </w:pPr>
    </w:p>
    <w:p w14:paraId="176DE873" w14:textId="77777777" w:rsidR="00C1155A" w:rsidRPr="002348C6" w:rsidRDefault="00563817" w:rsidP="002348C6">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 xml:space="preserve">HANKELEPINGU ESE JA </w:t>
      </w:r>
      <w:r w:rsidR="00115A5C" w:rsidRPr="002348C6">
        <w:rPr>
          <w:rFonts w:ascii="Times New Roman" w:hAnsi="Times New Roman" w:cs="Times New Roman"/>
          <w:b/>
          <w:sz w:val="24"/>
          <w:szCs w:val="24"/>
        </w:rPr>
        <w:t>TÄHTAEG</w:t>
      </w:r>
      <w:bookmarkStart w:id="2" w:name="_Toc350958044"/>
    </w:p>
    <w:p w14:paraId="0F8106FD" w14:textId="7CE48297" w:rsidR="00C1155A"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Hankelepingu esemeks on </w:t>
      </w:r>
      <w:r w:rsidR="00C61806" w:rsidRPr="002348C6">
        <w:rPr>
          <w:rFonts w:ascii="Times New Roman" w:hAnsi="Times New Roman" w:cs="Times New Roman"/>
          <w:sz w:val="24"/>
          <w:szCs w:val="24"/>
        </w:rPr>
        <w:t>Sutlepa mere kalade rändeteede avamise eeluuringute</w:t>
      </w:r>
      <w:r w:rsidR="002348C6">
        <w:rPr>
          <w:rFonts w:ascii="Times New Roman" w:hAnsi="Times New Roman" w:cs="Times New Roman"/>
          <w:sz w:val="24"/>
          <w:szCs w:val="24"/>
        </w:rPr>
        <w:t xml:space="preserve"> </w:t>
      </w:r>
      <w:r w:rsidR="00C61806" w:rsidRPr="002348C6">
        <w:rPr>
          <w:rFonts w:ascii="Times New Roman" w:hAnsi="Times New Roman" w:cs="Times New Roman"/>
          <w:sz w:val="24"/>
          <w:szCs w:val="24"/>
        </w:rPr>
        <w:t>läbiviimine</w:t>
      </w:r>
      <w:r w:rsidRPr="002348C6">
        <w:rPr>
          <w:rFonts w:ascii="Times New Roman" w:hAnsi="Times New Roman" w:cs="Times New Roman"/>
          <w:sz w:val="24"/>
          <w:szCs w:val="24"/>
        </w:rPr>
        <w:t xml:space="preserve">. </w:t>
      </w:r>
      <w:bookmarkEnd w:id="2"/>
    </w:p>
    <w:p w14:paraId="43A8DC3B" w14:textId="468CCEB8" w:rsidR="00C1155A"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Hankeleping sõlmitakse tähtajaga </w:t>
      </w:r>
      <w:r w:rsidR="00695117">
        <w:rPr>
          <w:rFonts w:ascii="Times New Roman" w:hAnsi="Times New Roman" w:cs="Times New Roman"/>
          <w:sz w:val="24"/>
          <w:szCs w:val="24"/>
        </w:rPr>
        <w:t>18</w:t>
      </w:r>
      <w:r w:rsidRPr="002348C6">
        <w:rPr>
          <w:rFonts w:ascii="Times New Roman" w:hAnsi="Times New Roman" w:cs="Times New Roman"/>
          <w:sz w:val="24"/>
          <w:szCs w:val="24"/>
        </w:rPr>
        <w:t xml:space="preserve"> kuud.</w:t>
      </w:r>
      <w:r w:rsidR="000A5BA4">
        <w:rPr>
          <w:rFonts w:ascii="Times New Roman" w:hAnsi="Times New Roman" w:cs="Times New Roman"/>
          <w:sz w:val="24"/>
          <w:szCs w:val="24"/>
        </w:rPr>
        <w:t xml:space="preserve"> I vahearuande tähtaeg on </w:t>
      </w:r>
      <w:r w:rsidR="003713DE">
        <w:rPr>
          <w:rFonts w:ascii="Times New Roman" w:hAnsi="Times New Roman" w:cs="Times New Roman"/>
          <w:sz w:val="24"/>
          <w:szCs w:val="24"/>
        </w:rPr>
        <w:t>6</w:t>
      </w:r>
      <w:r w:rsidR="000A5BA4">
        <w:rPr>
          <w:rFonts w:ascii="Times New Roman" w:hAnsi="Times New Roman" w:cs="Times New Roman"/>
          <w:sz w:val="24"/>
          <w:szCs w:val="24"/>
        </w:rPr>
        <w:t xml:space="preserve"> kuud lepingu sõlmimisest</w:t>
      </w:r>
      <w:r w:rsidR="003713DE">
        <w:rPr>
          <w:rFonts w:ascii="Times New Roman" w:hAnsi="Times New Roman" w:cs="Times New Roman"/>
          <w:sz w:val="24"/>
          <w:szCs w:val="24"/>
        </w:rPr>
        <w:t>, II</w:t>
      </w:r>
      <w:r w:rsidR="003713DE" w:rsidRPr="003713DE">
        <w:rPr>
          <w:rFonts w:ascii="Times New Roman" w:hAnsi="Times New Roman" w:cs="Times New Roman"/>
          <w:sz w:val="24"/>
          <w:szCs w:val="24"/>
        </w:rPr>
        <w:t xml:space="preserve"> vahearuande tähtaeg on </w:t>
      </w:r>
      <w:r w:rsidR="00FD474D">
        <w:rPr>
          <w:rFonts w:ascii="Times New Roman" w:hAnsi="Times New Roman" w:cs="Times New Roman"/>
          <w:sz w:val="24"/>
          <w:szCs w:val="24"/>
        </w:rPr>
        <w:t>14</w:t>
      </w:r>
      <w:r w:rsidR="003713DE" w:rsidRPr="003713DE">
        <w:rPr>
          <w:rFonts w:ascii="Times New Roman" w:hAnsi="Times New Roman" w:cs="Times New Roman"/>
          <w:sz w:val="24"/>
          <w:szCs w:val="24"/>
        </w:rPr>
        <w:t xml:space="preserve"> kuud lepingu sõlmimisest</w:t>
      </w:r>
      <w:r w:rsidR="000A5BA4">
        <w:rPr>
          <w:rFonts w:ascii="Times New Roman" w:hAnsi="Times New Roman" w:cs="Times New Roman"/>
          <w:sz w:val="24"/>
          <w:szCs w:val="24"/>
        </w:rPr>
        <w:t xml:space="preserve"> ja lõpparuan</w:t>
      </w:r>
      <w:r w:rsidR="00E6058B">
        <w:rPr>
          <w:rFonts w:ascii="Times New Roman" w:hAnsi="Times New Roman" w:cs="Times New Roman"/>
          <w:sz w:val="24"/>
          <w:szCs w:val="24"/>
        </w:rPr>
        <w:t xml:space="preserve">de tähtaeg </w:t>
      </w:r>
      <w:r w:rsidR="00FD474D">
        <w:rPr>
          <w:rFonts w:ascii="Times New Roman" w:hAnsi="Times New Roman" w:cs="Times New Roman"/>
          <w:sz w:val="24"/>
          <w:szCs w:val="24"/>
        </w:rPr>
        <w:t>17</w:t>
      </w:r>
      <w:r w:rsidR="00E6058B">
        <w:rPr>
          <w:rFonts w:ascii="Times New Roman" w:hAnsi="Times New Roman" w:cs="Times New Roman"/>
          <w:sz w:val="24"/>
          <w:szCs w:val="24"/>
        </w:rPr>
        <w:t xml:space="preserve"> kuud lepingu sõlmimisest. </w:t>
      </w:r>
      <w:r w:rsidRPr="002348C6">
        <w:rPr>
          <w:rFonts w:ascii="Times New Roman" w:hAnsi="Times New Roman" w:cs="Times New Roman"/>
          <w:sz w:val="24"/>
          <w:szCs w:val="24"/>
        </w:rPr>
        <w:t xml:space="preserve"> </w:t>
      </w:r>
      <w:r w:rsidR="00115A5C" w:rsidRPr="002348C6">
        <w:rPr>
          <w:rFonts w:ascii="Times New Roman" w:hAnsi="Times New Roman" w:cs="Times New Roman"/>
          <w:sz w:val="24"/>
          <w:szCs w:val="24"/>
        </w:rPr>
        <w:t xml:space="preserve">Täpsed </w:t>
      </w:r>
      <w:r w:rsidR="00C1155A" w:rsidRPr="002348C6">
        <w:rPr>
          <w:rFonts w:ascii="Times New Roman" w:hAnsi="Times New Roman" w:cs="Times New Roman"/>
          <w:sz w:val="24"/>
          <w:szCs w:val="24"/>
        </w:rPr>
        <w:t>lepingu</w:t>
      </w:r>
      <w:r w:rsidR="00115A5C" w:rsidRPr="002348C6">
        <w:rPr>
          <w:rFonts w:ascii="Times New Roman" w:hAnsi="Times New Roman" w:cs="Times New Roman"/>
          <w:sz w:val="24"/>
          <w:szCs w:val="24"/>
        </w:rPr>
        <w:t>tingimused on esitatud lepingu projektis (Lisa 2)</w:t>
      </w:r>
    </w:p>
    <w:p w14:paraId="2EF4D27D" w14:textId="033FDA5D" w:rsidR="00563817"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013BC807" w14:textId="77777777" w:rsidR="00563817" w:rsidRPr="00563817" w:rsidRDefault="00563817" w:rsidP="002348C6">
      <w:pPr>
        <w:spacing w:after="0" w:line="276" w:lineRule="auto"/>
        <w:ind w:left="426"/>
        <w:jc w:val="both"/>
        <w:rPr>
          <w:rFonts w:ascii="Times New Roman" w:hAnsi="Times New Roman" w:cs="Times New Roman"/>
          <w:sz w:val="24"/>
          <w:szCs w:val="24"/>
        </w:rPr>
      </w:pPr>
    </w:p>
    <w:p w14:paraId="6751D961" w14:textId="77777777" w:rsidR="00C1155A" w:rsidRPr="002348C6" w:rsidRDefault="00563817" w:rsidP="002348C6">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5923A2C1"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373335B6"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47EDA837"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F0E1392"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5"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6A5F5780"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w:t>
      </w:r>
      <w:r w:rsidR="006D4128" w:rsidRPr="002348C6">
        <w:rPr>
          <w:rFonts w:ascii="Times New Roman" w:hAnsi="Times New Roman" w:cs="Times New Roman"/>
          <w:sz w:val="24"/>
          <w:szCs w:val="24"/>
        </w:rPr>
        <w:t xml:space="preserve"> </w:t>
      </w:r>
      <w:r w:rsidRPr="002348C6">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9359564"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Hankija ei vastuta võimalike viivituste, tõrgete või katkestuste eest, mille põhjustavad RHR-s hankija kontrolli alt väljas olevad asjaolud nagu force majeure,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32DD4948"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495F2250" w14:textId="7F751900" w:rsidR="006D4128" w:rsidRPr="00EA73DA" w:rsidRDefault="00563817" w:rsidP="00EA73DA">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548718CE"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4604838E"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5F83576"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24544AD1" w14:textId="1926863B" w:rsidR="00563817"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50C6F018"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01A8594B"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3D1771C1"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hindab vastavaks tunnistatud pakkumusi vastavalt HD-le ja RHR-s toodud hindamisekriteeriumide osakaaludele 100 väärtuspunkti süsteemis.</w:t>
      </w:r>
    </w:p>
    <w:p w14:paraId="18461D1D"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63162176" w14:textId="51E6A49E" w:rsidR="00563817"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70E9D06E" w14:textId="77777777" w:rsidR="002067F5" w:rsidRPr="002348C6" w:rsidRDefault="002067F5" w:rsidP="002067F5">
      <w:pPr>
        <w:pStyle w:val="11"/>
        <w:numPr>
          <w:ilvl w:val="0"/>
          <w:numId w:val="0"/>
        </w:numPr>
        <w:spacing w:line="276" w:lineRule="auto"/>
        <w:ind w:left="432"/>
        <w:rPr>
          <w:rFonts w:ascii="Times New Roman" w:hAnsi="Times New Roman" w:cs="Times New Roman"/>
          <w:sz w:val="24"/>
          <w:szCs w:val="24"/>
        </w:rPr>
      </w:pPr>
    </w:p>
    <w:p w14:paraId="7AA945F9"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7F51490B"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EA5C97A"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4CAE97A8" w14:textId="74BE2BDE"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57FA9C28"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78D906CE"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Hankija võib lisaks RHS §-s 116 sätestatud juhtudele teha põhjendatud kirjaliku otsuse kõigi pakkumuste tagasilükkamise kohta kui</w:t>
      </w:r>
      <w:r w:rsidR="006D4128" w:rsidRPr="002348C6">
        <w:rPr>
          <w:rFonts w:ascii="Times New Roman" w:hAnsi="Times New Roman" w:cs="Times New Roman"/>
          <w:sz w:val="24"/>
          <w:szCs w:val="24"/>
        </w:rPr>
        <w:t xml:space="preserve"> </w:t>
      </w:r>
      <w:r w:rsidRPr="002348C6">
        <w:rPr>
          <w:rFonts w:ascii="Times New Roman" w:hAnsi="Times New Roman" w:cs="Times New Roman"/>
          <w:sz w:val="24"/>
          <w:szCs w:val="24"/>
        </w:rPr>
        <w:t>ei ole tagatud piisav konkurents (laekub kaks või vähem pakkumust või vastavaks tunnistatakse ainult üks  pakkumus);</w:t>
      </w:r>
    </w:p>
    <w:p w14:paraId="6308FDA7"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6C02B3CD" w14:textId="11E39648"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73D79E47"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63D5B11F"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52A43F74"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CD59F11" w14:textId="496F6C8D" w:rsidR="00563817"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5A44432A" w14:textId="77777777" w:rsidR="00563817" w:rsidRPr="00563817" w:rsidRDefault="00563817" w:rsidP="002348C6">
      <w:pPr>
        <w:numPr>
          <w:ilvl w:val="1"/>
          <w:numId w:val="0"/>
        </w:numPr>
        <w:spacing w:after="0" w:line="276" w:lineRule="auto"/>
        <w:jc w:val="both"/>
        <w:rPr>
          <w:rFonts w:ascii="Times New Roman" w:hAnsi="Times New Roman" w:cs="Times New Roman"/>
          <w:b/>
          <w:bCs/>
          <w:sz w:val="24"/>
          <w:szCs w:val="24"/>
        </w:rPr>
      </w:pPr>
    </w:p>
    <w:p w14:paraId="6717F823" w14:textId="77777777" w:rsidR="002348C6" w:rsidRPr="002067F5" w:rsidRDefault="00563817" w:rsidP="002348C6">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p>
    <w:p w14:paraId="563859DC"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0C2DAA76"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 allkirjastatakse digitaalselt. Juhul, kui lepingu allkirjastamine digitaalselt ei ole võimalik (nt piiriülene pakkuja), saadab hankija edukaks tunnistatud pakkumuse esitanud pakkujale kaks hankija poolt allkirjastatud lepingu eksemplari. Leping loetakse kättesaaduks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4A4002BE" w14:textId="2FCDFB47"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14B6140F"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223A3413" w14:textId="77777777" w:rsidR="002348C6" w:rsidRPr="002067F5" w:rsidRDefault="00563817" w:rsidP="002348C6">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195E7485" w14:textId="77777777" w:rsidR="002348C6" w:rsidRPr="002348C6" w:rsidRDefault="002348C6"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w:t>
      </w:r>
      <w:r w:rsidR="00563817" w:rsidRPr="002348C6">
        <w:rPr>
          <w:rFonts w:ascii="Times New Roman"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26E1F871"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06927D8D" w14:textId="045AB517"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 xml:space="preserve">Hankija vastab RHAD-ga seotud selgitustaotlustele RHS § 46 sätestatud tähtaegadel ja korras. </w:t>
      </w:r>
    </w:p>
    <w:p w14:paraId="3CE7409F"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0EA6E8A9" w14:textId="77777777" w:rsidR="00563817" w:rsidRPr="00563817" w:rsidRDefault="00563817" w:rsidP="002348C6">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34384727" w14:textId="77777777" w:rsidR="00563817" w:rsidRPr="00563817" w:rsidRDefault="00563817" w:rsidP="002348C6">
      <w:pPr>
        <w:spacing w:after="0" w:line="276" w:lineRule="auto"/>
        <w:ind w:left="360"/>
        <w:jc w:val="both"/>
        <w:rPr>
          <w:rFonts w:ascii="Times New Roman" w:eastAsia="Arial" w:hAnsi="Times New Roman" w:cs="Times New Roman"/>
          <w:sz w:val="24"/>
          <w:szCs w:val="24"/>
        </w:rPr>
      </w:pPr>
    </w:p>
    <w:p w14:paraId="6E0E8000" w14:textId="2EFDDA44" w:rsidR="00563817" w:rsidRPr="00563817" w:rsidRDefault="00563817" w:rsidP="002348C6">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 Tehnili</w:t>
      </w:r>
      <w:r w:rsidR="00FA717B">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3D51823A" w14:textId="77777777" w:rsidR="00563817" w:rsidRPr="00563817" w:rsidRDefault="00563817" w:rsidP="002348C6">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2 - Hankelepingu projekt</w:t>
      </w:r>
    </w:p>
    <w:p w14:paraId="7AFDB938" w14:textId="77777777" w:rsidR="00563817" w:rsidRPr="00563817" w:rsidRDefault="00563817" w:rsidP="00563817">
      <w:pPr>
        <w:suppressAutoHyphens/>
        <w:spacing w:after="0" w:line="240" w:lineRule="auto"/>
        <w:rPr>
          <w:rFonts w:ascii="Times New Roman" w:eastAsia="Times New Roman" w:hAnsi="Times New Roman" w:cs="Times New Roman"/>
          <w:kern w:val="0"/>
          <w:sz w:val="24"/>
          <w:szCs w:val="24"/>
          <w:lang w:eastAsia="ar-SA"/>
          <w14:ligatures w14:val="none"/>
        </w:rPr>
      </w:pPr>
    </w:p>
    <w:p w14:paraId="653E0BD9"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17"/>
    <w:rsid w:val="000A5BA4"/>
    <w:rsid w:val="000D1473"/>
    <w:rsid w:val="00115A5C"/>
    <w:rsid w:val="002067F5"/>
    <w:rsid w:val="002211E7"/>
    <w:rsid w:val="002348C6"/>
    <w:rsid w:val="0026308F"/>
    <w:rsid w:val="002F1A9A"/>
    <w:rsid w:val="003713DE"/>
    <w:rsid w:val="004C7585"/>
    <w:rsid w:val="00563817"/>
    <w:rsid w:val="00583B27"/>
    <w:rsid w:val="00695117"/>
    <w:rsid w:val="006D4128"/>
    <w:rsid w:val="00800EB0"/>
    <w:rsid w:val="0084491F"/>
    <w:rsid w:val="008E5F72"/>
    <w:rsid w:val="009B0924"/>
    <w:rsid w:val="00A243E2"/>
    <w:rsid w:val="00A7122F"/>
    <w:rsid w:val="00AF6D6A"/>
    <w:rsid w:val="00B64738"/>
    <w:rsid w:val="00B9280D"/>
    <w:rsid w:val="00C1155A"/>
    <w:rsid w:val="00C558F4"/>
    <w:rsid w:val="00C61806"/>
    <w:rsid w:val="00CA6514"/>
    <w:rsid w:val="00D13AE0"/>
    <w:rsid w:val="00D25C8F"/>
    <w:rsid w:val="00E6058B"/>
    <w:rsid w:val="00E73659"/>
    <w:rsid w:val="00EA73DA"/>
    <w:rsid w:val="00F124AD"/>
    <w:rsid w:val="00FA717B"/>
    <w:rsid w:val="00FD474D"/>
    <w:rsid w:val="00FD4C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0CF00"/>
  <w15:chartTrackingRefBased/>
  <w15:docId w15:val="{77C7BBC9-05B6-416B-9639-993F00DC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638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638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6381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6381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6381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6381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6381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6381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6381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6381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6381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6381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6381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6381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6381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6381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6381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6381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638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6381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6381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6381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63817"/>
    <w:pPr>
      <w:spacing w:before="160"/>
      <w:jc w:val="center"/>
    </w:pPr>
    <w:rPr>
      <w:i/>
      <w:iCs/>
      <w:color w:val="404040" w:themeColor="text1" w:themeTint="BF"/>
    </w:rPr>
  </w:style>
  <w:style w:type="character" w:customStyle="1" w:styleId="TsitaatMrk">
    <w:name w:val="Tsitaat Märk"/>
    <w:basedOn w:val="Liguvaikefont"/>
    <w:link w:val="Tsitaat"/>
    <w:uiPriority w:val="29"/>
    <w:rsid w:val="00563817"/>
    <w:rPr>
      <w:i/>
      <w:iCs/>
      <w:color w:val="404040" w:themeColor="text1" w:themeTint="BF"/>
    </w:rPr>
  </w:style>
  <w:style w:type="paragraph" w:styleId="Loendilik">
    <w:name w:val="List Paragraph"/>
    <w:basedOn w:val="Normaallaad"/>
    <w:uiPriority w:val="34"/>
    <w:qFormat/>
    <w:rsid w:val="00563817"/>
    <w:pPr>
      <w:ind w:left="720"/>
      <w:contextualSpacing/>
    </w:pPr>
  </w:style>
  <w:style w:type="character" w:styleId="Selgeltmrgatavrhutus">
    <w:name w:val="Intense Emphasis"/>
    <w:basedOn w:val="Liguvaikefont"/>
    <w:uiPriority w:val="21"/>
    <w:qFormat/>
    <w:rsid w:val="00563817"/>
    <w:rPr>
      <w:i/>
      <w:iCs/>
      <w:color w:val="2E74B5" w:themeColor="accent1" w:themeShade="BF"/>
    </w:rPr>
  </w:style>
  <w:style w:type="paragraph" w:styleId="Selgeltmrgatavtsitaat">
    <w:name w:val="Intense Quote"/>
    <w:basedOn w:val="Normaallaad"/>
    <w:next w:val="Normaallaad"/>
    <w:link w:val="SelgeltmrgatavtsitaatMrk"/>
    <w:uiPriority w:val="30"/>
    <w:qFormat/>
    <w:rsid w:val="005638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63817"/>
    <w:rPr>
      <w:i/>
      <w:iCs/>
      <w:color w:val="2E74B5" w:themeColor="accent1" w:themeShade="BF"/>
    </w:rPr>
  </w:style>
  <w:style w:type="character" w:styleId="Selgeltmrgatavviide">
    <w:name w:val="Intense Reference"/>
    <w:basedOn w:val="Liguvaikefont"/>
    <w:uiPriority w:val="32"/>
    <w:qFormat/>
    <w:rsid w:val="00563817"/>
    <w:rPr>
      <w:b/>
      <w:bCs/>
      <w:smallCaps/>
      <w:color w:val="2E74B5" w:themeColor="accent1" w:themeShade="BF"/>
      <w:spacing w:val="5"/>
    </w:rPr>
  </w:style>
  <w:style w:type="paragraph" w:customStyle="1" w:styleId="111">
    <w:name w:val="1.1.1"/>
    <w:basedOn w:val="Normaallaad"/>
    <w:qFormat/>
    <w:rsid w:val="00563817"/>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563817"/>
    <w:pPr>
      <w:numPr>
        <w:ilvl w:val="1"/>
        <w:numId w:val="1"/>
      </w:numPr>
      <w:spacing w:after="0" w:line="240" w:lineRule="auto"/>
      <w:jc w:val="both"/>
    </w:pPr>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1746</Words>
  <Characters>10127</Characters>
  <Application>Microsoft Office Word</Application>
  <DocSecurity>0</DocSecurity>
  <Lines>84</Lines>
  <Paragraphs>23</Paragraphs>
  <ScaleCrop>false</ScaleCrop>
  <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29</cp:revision>
  <dcterms:created xsi:type="dcterms:W3CDTF">2025-02-07T07:43:00Z</dcterms:created>
  <dcterms:modified xsi:type="dcterms:W3CDTF">2025-04-07T06:56:00Z</dcterms:modified>
</cp:coreProperties>
</file>